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78" w:rsidRPr="00282278" w:rsidRDefault="00282278" w:rsidP="00282278">
      <w:pPr>
        <w:autoSpaceDE w:val="0"/>
        <w:autoSpaceDN w:val="0"/>
        <w:adjustRightInd w:val="0"/>
        <w:spacing w:after="0" w:line="240" w:lineRule="auto"/>
        <w:ind w:firstLine="567"/>
        <w:jc w:val="right"/>
        <w:rPr>
          <w:rFonts w:ascii="PT Astra Serif" w:hAnsi="PT Astra Serif"/>
          <w:sz w:val="24"/>
          <w:szCs w:val="24"/>
        </w:rPr>
      </w:pPr>
      <w:bookmarkStart w:id="0" w:name="_GoBack"/>
      <w:bookmarkEnd w:id="0"/>
      <w:r w:rsidRPr="00282278">
        <w:rPr>
          <w:rFonts w:ascii="PT Astra Serif" w:hAnsi="PT Astra Serif"/>
          <w:sz w:val="24"/>
          <w:szCs w:val="24"/>
        </w:rPr>
        <w:t>Приложение N 1</w:t>
      </w:r>
    </w:p>
    <w:p w:rsidR="00282278" w:rsidRPr="00282278" w:rsidRDefault="00282278" w:rsidP="00282278">
      <w:pPr>
        <w:autoSpaceDE w:val="0"/>
        <w:autoSpaceDN w:val="0"/>
        <w:adjustRightInd w:val="0"/>
        <w:spacing w:after="0" w:line="240" w:lineRule="auto"/>
        <w:ind w:firstLine="567"/>
        <w:jc w:val="right"/>
        <w:rPr>
          <w:rFonts w:ascii="PT Astra Serif" w:hAnsi="PT Astra Serif"/>
          <w:sz w:val="24"/>
          <w:szCs w:val="24"/>
        </w:rPr>
      </w:pPr>
      <w:r w:rsidRPr="00282278">
        <w:rPr>
          <w:rFonts w:ascii="PT Astra Serif" w:hAnsi="PT Astra Serif"/>
          <w:sz w:val="24"/>
          <w:szCs w:val="24"/>
        </w:rPr>
        <w:t xml:space="preserve">к приказу от </w:t>
      </w:r>
      <w:r>
        <w:rPr>
          <w:rFonts w:ascii="PT Astra Serif" w:hAnsi="PT Astra Serif"/>
          <w:sz w:val="24"/>
          <w:szCs w:val="24"/>
        </w:rPr>
        <w:t>01.09.</w:t>
      </w:r>
      <w:r w:rsidRPr="00282278">
        <w:rPr>
          <w:rFonts w:ascii="PT Astra Serif" w:hAnsi="PT Astra Serif"/>
          <w:sz w:val="24"/>
          <w:szCs w:val="24"/>
        </w:rPr>
        <w:t>202</w:t>
      </w:r>
      <w:r>
        <w:rPr>
          <w:rFonts w:ascii="PT Astra Serif" w:hAnsi="PT Astra Serif"/>
          <w:sz w:val="24"/>
          <w:szCs w:val="24"/>
        </w:rPr>
        <w:t xml:space="preserve">2 </w:t>
      </w:r>
      <w:r w:rsidRPr="00282278">
        <w:rPr>
          <w:rFonts w:ascii="PT Astra Serif" w:hAnsi="PT Astra Serif"/>
          <w:sz w:val="24"/>
          <w:szCs w:val="24"/>
        </w:rPr>
        <w:t xml:space="preserve">№ </w:t>
      </w:r>
      <w:r>
        <w:rPr>
          <w:rFonts w:ascii="PT Astra Serif" w:hAnsi="PT Astra Serif"/>
          <w:sz w:val="24"/>
          <w:szCs w:val="24"/>
        </w:rPr>
        <w:t>381-од</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p>
    <w:p w:rsidR="00282278" w:rsidRPr="00282278" w:rsidRDefault="00282278" w:rsidP="00282278">
      <w:pPr>
        <w:autoSpaceDE w:val="0"/>
        <w:autoSpaceDN w:val="0"/>
        <w:adjustRightInd w:val="0"/>
        <w:spacing w:after="0" w:line="240" w:lineRule="auto"/>
        <w:ind w:firstLine="567"/>
        <w:jc w:val="center"/>
        <w:rPr>
          <w:rFonts w:ascii="PT Astra Serif" w:hAnsi="PT Astra Serif"/>
          <w:sz w:val="24"/>
          <w:szCs w:val="24"/>
        </w:rPr>
      </w:pPr>
      <w:r w:rsidRPr="00282278">
        <w:rPr>
          <w:rFonts w:ascii="PT Astra Serif" w:hAnsi="PT Astra Serif"/>
          <w:b/>
          <w:bCs/>
          <w:sz w:val="24"/>
          <w:szCs w:val="24"/>
        </w:rPr>
        <w:t>Учетная политика</w:t>
      </w:r>
    </w:p>
    <w:p w:rsidR="00282278" w:rsidRPr="00282278" w:rsidRDefault="00282278" w:rsidP="00282278">
      <w:pPr>
        <w:autoSpaceDE w:val="0"/>
        <w:autoSpaceDN w:val="0"/>
        <w:adjustRightInd w:val="0"/>
        <w:spacing w:after="0" w:line="240" w:lineRule="auto"/>
        <w:ind w:firstLine="567"/>
        <w:jc w:val="center"/>
        <w:rPr>
          <w:rFonts w:ascii="PT Astra Serif" w:hAnsi="PT Astra Serif"/>
          <w:b/>
          <w:bCs/>
          <w:sz w:val="24"/>
          <w:szCs w:val="24"/>
        </w:rPr>
      </w:pPr>
      <w:r w:rsidRPr="00282278">
        <w:rPr>
          <w:rFonts w:ascii="PT Astra Serif" w:hAnsi="PT Astra Serif"/>
          <w:b/>
          <w:bCs/>
          <w:sz w:val="24"/>
          <w:szCs w:val="24"/>
        </w:rPr>
        <w:t xml:space="preserve">Государственное автономное общеобразовательное учреждение Саратовской области «Музыкально-эстетический лицей имени Альфреда </w:t>
      </w:r>
      <w:proofErr w:type="spellStart"/>
      <w:r w:rsidRPr="00282278">
        <w:rPr>
          <w:rFonts w:ascii="PT Astra Serif" w:hAnsi="PT Astra Serif"/>
          <w:b/>
          <w:bCs/>
          <w:sz w:val="24"/>
          <w:szCs w:val="24"/>
        </w:rPr>
        <w:t>Гарриевича</w:t>
      </w:r>
      <w:proofErr w:type="spellEnd"/>
      <w:r w:rsidRPr="00282278">
        <w:rPr>
          <w:rFonts w:ascii="PT Astra Serif" w:hAnsi="PT Astra Serif"/>
          <w:b/>
          <w:bCs/>
          <w:sz w:val="24"/>
          <w:szCs w:val="24"/>
        </w:rPr>
        <w:t xml:space="preserve"> </w:t>
      </w:r>
      <w:proofErr w:type="spellStart"/>
      <w:r w:rsidRPr="00282278">
        <w:rPr>
          <w:rFonts w:ascii="PT Astra Serif" w:hAnsi="PT Astra Serif"/>
          <w:b/>
          <w:bCs/>
          <w:sz w:val="24"/>
          <w:szCs w:val="24"/>
        </w:rPr>
        <w:t>Шнитке</w:t>
      </w:r>
      <w:proofErr w:type="spellEnd"/>
      <w:r w:rsidRPr="00282278">
        <w:rPr>
          <w:rFonts w:ascii="PT Astra Serif" w:hAnsi="PT Astra Serif"/>
          <w:b/>
          <w:bCs/>
          <w:sz w:val="24"/>
          <w:szCs w:val="24"/>
        </w:rPr>
        <w:t>»</w:t>
      </w:r>
    </w:p>
    <w:p w:rsidR="00282278" w:rsidRPr="00282278" w:rsidRDefault="00282278" w:rsidP="00282278">
      <w:pPr>
        <w:autoSpaceDE w:val="0"/>
        <w:autoSpaceDN w:val="0"/>
        <w:adjustRightInd w:val="0"/>
        <w:spacing w:after="0" w:line="240" w:lineRule="auto"/>
        <w:ind w:firstLine="567"/>
        <w:jc w:val="center"/>
        <w:rPr>
          <w:rFonts w:ascii="PT Astra Serif" w:hAnsi="PT Astra Serif"/>
          <w:sz w:val="24"/>
          <w:szCs w:val="24"/>
        </w:rPr>
      </w:pPr>
      <w:r w:rsidRPr="00282278">
        <w:rPr>
          <w:rFonts w:ascii="PT Astra Serif" w:hAnsi="PT Astra Serif"/>
          <w:b/>
          <w:bCs/>
          <w:sz w:val="24"/>
          <w:szCs w:val="24"/>
        </w:rPr>
        <w:t>для целей бухгалтерского учета</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p>
    <w:p w:rsidR="00282278" w:rsidRPr="00282278" w:rsidRDefault="00282278" w:rsidP="00282278">
      <w:pPr>
        <w:autoSpaceDE w:val="0"/>
        <w:autoSpaceDN w:val="0"/>
        <w:adjustRightInd w:val="0"/>
        <w:spacing w:after="0" w:line="240" w:lineRule="auto"/>
        <w:ind w:firstLine="567"/>
        <w:jc w:val="center"/>
        <w:rPr>
          <w:rFonts w:ascii="PT Astra Serif" w:hAnsi="PT Astra Serif"/>
          <w:sz w:val="24"/>
          <w:szCs w:val="24"/>
        </w:rPr>
      </w:pPr>
      <w:r w:rsidRPr="00282278">
        <w:rPr>
          <w:rFonts w:ascii="PT Astra Serif" w:hAnsi="PT Astra Serif"/>
          <w:b/>
          <w:bCs/>
          <w:sz w:val="24"/>
          <w:szCs w:val="24"/>
        </w:rPr>
        <w:t>1. Организационные положения</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1.1. Настоящая Учетная политика разработана в соответствии с требованиями следующих документов:</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Бюджетный кодекс РФ (далее - БК РФ);</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закон от 06.12.2011 № 402-ФЗ «О бухгалтерском учете» (далее - Закон № 402-ФЗ);</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закон от 03.11.2006 № 174-ФЗ «Об автономных учреждениях» (далее - Закон № 174-ФЗ);</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СГС «Концептуальные основы»);</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для организаций государственного сектора «Основные средства», утвержденный Приказом Минфина России от 31.12.2016 № 257н (далее - СГС «Основные средства»);</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для организаций государственного сектора «Аренда», утвержденный Приказом Минфина России от 31.12.2016 № 258н (далее - СГС «Аренда»);</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 259н (далее - СГС «Обесценение активов»);</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СГС «Представление отчетности»);</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СГС «Отчет о движении денежных средств»);</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СГС «Учетная политика»);</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 275н (далее - СГС «События после отчетной даты»);</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для организаций государственного сектора «Доходы», утвержденный Приказом Минфина России от 27.02.2018 № 32н (далее - СГС «Доходы»);</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СГС «Влияние изменений курсов иностранных валют»);</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lastRenderedPageBreak/>
        <w:t>- 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СГС «Бюджетная информация в бухгалтерской (финансовой) отчетности»);</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СГС «Резервы»);</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 145н (далее - СГС «Долгосрочные договоры»);</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для организаций государственного сектора «Запасы», утвержденный Приказом Минфина России от 07.12.2018 № 256н (далее - СГС «Запасы»);</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СГС «Бухгалтерская (финансовая) отчетность с учетом инфляции»);</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план счетов);</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Инструкция № 157н);</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План счетов бухгалтерского учета автономных учреждений, утвержденный (далее - План счетов автономных учреждений);</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Приказ Минфина России от 9 декабря 2016 г.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Инструкция по применению Плана счетов бухгалтерского учета автономных учреждений, утвержденная Приказом Минфина России от 23.12.2010 № 183н (далее - Инструкция № 183н);</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lastRenderedPageBreak/>
        <w:t>- 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включая Приложение № 5 -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 52н);</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Методические указания по инвентаризации имущества и финансовых обязательств, утвержденные Приказом Минфина России от 13.06.1995 № 49 (далее - Методические указания № 49);</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Инструкция № 33н);</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highlight w:val="magenta"/>
        </w:rPr>
      </w:pPr>
      <w:r w:rsidRPr="00282278">
        <w:rPr>
          <w:rFonts w:ascii="PT Astra Serif" w:hAnsi="PT Astra Serif"/>
          <w:sz w:val="24"/>
          <w:szCs w:val="24"/>
        </w:rPr>
        <w:t>- Приказ Минфина России от 24 мая 2022 г. N 82н «О Порядке формирования и применения кодов бюджетной классификации Российской Федерации, их структуре и принципах назначения» (с изменениями и дополнениями)</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Порядок применения классификации операций сектора государственного управления, утвержденный Приказом Минфина России от 29.11.2017 № 209н (далее - Порядок применения КОСГУ, Порядок № 209н);</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1.2. Порядок передачи документов и дел при смене руководителя приведен в Приложении N 8 к Учетной политике.</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i/>
          <w:iCs/>
          <w:sz w:val="24"/>
          <w:szCs w:val="24"/>
        </w:rPr>
        <w:t>(Основание: п. 14 Инструкции № 157н)</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1.3. Форма ведения учета - автоматизированная с применением программного обеспечения:</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w:t>
      </w:r>
      <w:r w:rsidRPr="00282278">
        <w:rPr>
          <w:rFonts w:ascii="PT Astra Serif" w:hAnsi="PT Astra Serif"/>
          <w:sz w:val="24"/>
          <w:szCs w:val="24"/>
        </w:rPr>
        <w:tab/>
        <w:t>автоматизированный учет</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xml:space="preserve">               «1</w:t>
      </w:r>
      <w:proofErr w:type="gramStart"/>
      <w:r w:rsidRPr="00282278">
        <w:rPr>
          <w:rFonts w:ascii="PT Astra Serif" w:hAnsi="PT Astra Serif"/>
          <w:sz w:val="24"/>
          <w:szCs w:val="24"/>
        </w:rPr>
        <w:t>С:Предприятие</w:t>
      </w:r>
      <w:proofErr w:type="gramEnd"/>
      <w:r w:rsidRPr="00282278">
        <w:rPr>
          <w:rFonts w:ascii="PT Astra Serif" w:hAnsi="PT Astra Serif"/>
          <w:sz w:val="24"/>
          <w:szCs w:val="24"/>
        </w:rPr>
        <w:t xml:space="preserve"> 8.3»,</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xml:space="preserve">               «1</w:t>
      </w:r>
      <w:proofErr w:type="gramStart"/>
      <w:r w:rsidRPr="00282278">
        <w:rPr>
          <w:rFonts w:ascii="PT Astra Serif" w:hAnsi="PT Astra Serif"/>
          <w:sz w:val="24"/>
          <w:szCs w:val="24"/>
        </w:rPr>
        <w:t>С:Предприятие</w:t>
      </w:r>
      <w:proofErr w:type="gramEnd"/>
      <w:r w:rsidRPr="00282278">
        <w:rPr>
          <w:rFonts w:ascii="PT Astra Serif" w:hAnsi="PT Astra Serif"/>
          <w:sz w:val="24"/>
          <w:szCs w:val="24"/>
        </w:rPr>
        <w:t xml:space="preserve"> 8.3» Зарплата и кадры бюджетного учреждения,</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xml:space="preserve">                УРМ,</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xml:space="preserve">               «Контур-Экстерн» (электронный документооборот);</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ab/>
      </w:r>
      <w:r w:rsidRPr="00282278">
        <w:rPr>
          <w:rFonts w:ascii="PT Astra Serif" w:hAnsi="PT Astra Serif"/>
          <w:sz w:val="24"/>
          <w:szCs w:val="24"/>
        </w:rPr>
        <w:tab/>
        <w:t>«СБИС» (электронный документооборот);</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xml:space="preserve">               «Свод-смарт»- сводная отчетность.</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w:t>
      </w:r>
      <w:r w:rsidRPr="00282278">
        <w:rPr>
          <w:rFonts w:ascii="PT Astra Serif" w:hAnsi="PT Astra Serif"/>
          <w:sz w:val="24"/>
          <w:szCs w:val="24"/>
        </w:rPr>
        <w:tab/>
        <w:t>журнально-ордерная форма</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i/>
          <w:iCs/>
          <w:sz w:val="24"/>
          <w:szCs w:val="24"/>
        </w:rPr>
        <w:t>(Основание: п. 19 Инструкции № 157н, п. 9 СГС «Учетная политика»)</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1.4. Для отражения объектов учета и изменяющих их фактов хозяйственной жизни используются формы первичных учетных документов:</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утвержденные Приказом Минфина России № 52н;</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 утвержденные правовыми актами уполномоченных органов исполнительной власти (при их отсутствии в Приказе Минфина России № 52н);</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1.5. Первичные учетные документы составляются на бумажном носителе.</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i/>
          <w:iCs/>
          <w:sz w:val="24"/>
          <w:szCs w:val="24"/>
        </w:rPr>
        <w:t xml:space="preserve"> (Основание: ч. 5, 6 ст. 9 Закона № 402-ФЗ, п. 32 СГС «Концептуальные основы», Методические указания № 52н)</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sz w:val="24"/>
          <w:szCs w:val="24"/>
        </w:rPr>
        <w:t>1.6.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282278" w:rsidRPr="00282278" w:rsidRDefault="00282278" w:rsidP="00282278">
      <w:pPr>
        <w:autoSpaceDE w:val="0"/>
        <w:autoSpaceDN w:val="0"/>
        <w:adjustRightInd w:val="0"/>
        <w:spacing w:after="0" w:line="240" w:lineRule="auto"/>
        <w:ind w:firstLine="567"/>
        <w:jc w:val="both"/>
        <w:rPr>
          <w:rFonts w:ascii="PT Astra Serif" w:hAnsi="PT Astra Serif"/>
          <w:sz w:val="24"/>
          <w:szCs w:val="24"/>
        </w:rPr>
      </w:pPr>
      <w:r w:rsidRPr="00282278">
        <w:rPr>
          <w:rFonts w:ascii="PT Astra Serif" w:hAnsi="PT Astra Serif"/>
          <w:i/>
          <w:iCs/>
          <w:sz w:val="24"/>
          <w:szCs w:val="24"/>
        </w:rPr>
        <w:t>(Основание: п. 31 СГС «Концептуальные основы»)</w:t>
      </w:r>
    </w:p>
    <w:p w:rsidR="00F45C03" w:rsidRPr="00282278" w:rsidRDefault="00F45C03">
      <w:pPr>
        <w:rPr>
          <w:rFonts w:ascii="PT Astra Serif" w:hAnsi="PT Astra Serif"/>
          <w:sz w:val="24"/>
          <w:szCs w:val="24"/>
        </w:rPr>
      </w:pPr>
    </w:p>
    <w:sectPr w:rsidR="00F45C03" w:rsidRPr="00282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DF"/>
    <w:rsid w:val="00282278"/>
    <w:rsid w:val="00442C32"/>
    <w:rsid w:val="00CB6CDF"/>
    <w:rsid w:val="00F45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413E"/>
  <w15:chartTrackingRefBased/>
  <w15:docId w15:val="{9795F39F-89D0-4B07-A42A-548D47AF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27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1382</Words>
  <Characters>7878</Characters>
  <Application>Microsoft Office Word</Application>
  <DocSecurity>0</DocSecurity>
  <Lines>65</Lines>
  <Paragraphs>18</Paragraphs>
  <ScaleCrop>false</ScaleCrop>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2024-03-22T05:45:00Z</dcterms:created>
  <dcterms:modified xsi:type="dcterms:W3CDTF">2024-03-22T05:49:00Z</dcterms:modified>
</cp:coreProperties>
</file>